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4ED" w:rsidRDefault="00DE3745">
      <w:r w:rsidRPr="00DE3745">
        <w:rPr>
          <w:noProof/>
          <w:lang w:eastAsia="tr-TR"/>
        </w:rPr>
        <w:drawing>
          <wp:inline distT="0" distB="0" distL="0" distR="0" wp14:anchorId="4DC75816" wp14:editId="735C29AE">
            <wp:extent cx="5760720" cy="32550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255010"/>
                    </a:xfrm>
                    <a:prstGeom prst="rect">
                      <a:avLst/>
                    </a:prstGeom>
                  </pic:spPr>
                </pic:pic>
              </a:graphicData>
            </a:graphic>
          </wp:inline>
        </w:drawing>
      </w:r>
    </w:p>
    <w:p w:rsidR="00DE3745" w:rsidRDefault="00DE3745">
      <w:r w:rsidRPr="00DE3745">
        <w:rPr>
          <w:noProof/>
          <w:lang w:eastAsia="tr-TR"/>
        </w:rPr>
        <w:drawing>
          <wp:inline distT="0" distB="0" distL="0" distR="0" wp14:anchorId="254E6087" wp14:editId="3D4F6438">
            <wp:extent cx="5760720" cy="3131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131820"/>
                    </a:xfrm>
                    <a:prstGeom prst="rect">
                      <a:avLst/>
                    </a:prstGeom>
                  </pic:spPr>
                </pic:pic>
              </a:graphicData>
            </a:graphic>
          </wp:inline>
        </w:drawing>
      </w:r>
    </w:p>
    <w:p w:rsidR="00DE3745" w:rsidRDefault="00DE3745">
      <w:r w:rsidRPr="00DE3745">
        <w:rPr>
          <w:noProof/>
          <w:lang w:eastAsia="tr-TR"/>
        </w:rPr>
        <w:lastRenderedPageBreak/>
        <w:drawing>
          <wp:inline distT="0" distB="0" distL="0" distR="0" wp14:anchorId="62BCF634" wp14:editId="26E3B881">
            <wp:extent cx="5760720" cy="375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752850"/>
                    </a:xfrm>
                    <a:prstGeom prst="rect">
                      <a:avLst/>
                    </a:prstGeom>
                  </pic:spPr>
                </pic:pic>
              </a:graphicData>
            </a:graphic>
          </wp:inline>
        </w:drawing>
      </w:r>
    </w:p>
    <w:p w:rsidR="00DE3745" w:rsidRDefault="00DE3745">
      <w:r w:rsidRPr="00DE3745">
        <w:rPr>
          <w:noProof/>
          <w:lang w:eastAsia="tr-TR"/>
        </w:rPr>
        <w:drawing>
          <wp:inline distT="0" distB="0" distL="0" distR="0" wp14:anchorId="32B49BDD" wp14:editId="2A697EC9">
            <wp:extent cx="5760720" cy="2932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932430"/>
                    </a:xfrm>
                    <a:prstGeom prst="rect">
                      <a:avLst/>
                    </a:prstGeom>
                  </pic:spPr>
                </pic:pic>
              </a:graphicData>
            </a:graphic>
          </wp:inline>
        </w:drawing>
      </w:r>
    </w:p>
    <w:p w:rsidR="00DE3745" w:rsidRDefault="00DE3745">
      <w:r w:rsidRPr="00DE3745">
        <w:rPr>
          <w:noProof/>
          <w:lang w:eastAsia="tr-TR"/>
        </w:rPr>
        <w:lastRenderedPageBreak/>
        <w:drawing>
          <wp:inline distT="0" distB="0" distL="0" distR="0" wp14:anchorId="33D8CF56" wp14:editId="749BA849">
            <wp:extent cx="5760720" cy="3273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73425"/>
                    </a:xfrm>
                    <a:prstGeom prst="rect">
                      <a:avLst/>
                    </a:prstGeom>
                  </pic:spPr>
                </pic:pic>
              </a:graphicData>
            </a:graphic>
          </wp:inline>
        </w:drawing>
      </w:r>
    </w:p>
    <w:p w:rsidR="00DE3745" w:rsidRDefault="00DE3745">
      <w:r w:rsidRPr="00DE3745">
        <w:rPr>
          <w:noProof/>
          <w:lang w:eastAsia="tr-TR"/>
        </w:rPr>
        <w:drawing>
          <wp:inline distT="0" distB="0" distL="0" distR="0" wp14:anchorId="1E4F4A1C" wp14:editId="5F200EA7">
            <wp:extent cx="5760720" cy="32156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15640"/>
                    </a:xfrm>
                    <a:prstGeom prst="rect">
                      <a:avLst/>
                    </a:prstGeom>
                  </pic:spPr>
                </pic:pic>
              </a:graphicData>
            </a:graphic>
          </wp:inline>
        </w:drawing>
      </w:r>
    </w:p>
    <w:p w:rsidR="00DE3745" w:rsidRDefault="00DE3745">
      <w:r w:rsidRPr="00DE3745">
        <w:rPr>
          <w:noProof/>
          <w:lang w:eastAsia="tr-TR"/>
        </w:rPr>
        <w:lastRenderedPageBreak/>
        <w:drawing>
          <wp:inline distT="0" distB="0" distL="0" distR="0" wp14:anchorId="1B994CD7" wp14:editId="520D685E">
            <wp:extent cx="5760720" cy="33096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309620"/>
                    </a:xfrm>
                    <a:prstGeom prst="rect">
                      <a:avLst/>
                    </a:prstGeom>
                  </pic:spPr>
                </pic:pic>
              </a:graphicData>
            </a:graphic>
          </wp:inline>
        </w:drawing>
      </w:r>
    </w:p>
    <w:p w:rsidR="00DE3745" w:rsidRDefault="00DE3745">
      <w:r w:rsidRPr="00DE3745">
        <w:rPr>
          <w:noProof/>
          <w:lang w:eastAsia="tr-TR"/>
        </w:rPr>
        <w:drawing>
          <wp:inline distT="0" distB="0" distL="0" distR="0" wp14:anchorId="27A2FF0E" wp14:editId="56816CB1">
            <wp:extent cx="5760720" cy="27171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17165"/>
                    </a:xfrm>
                    <a:prstGeom prst="rect">
                      <a:avLst/>
                    </a:prstGeom>
                  </pic:spPr>
                </pic:pic>
              </a:graphicData>
            </a:graphic>
          </wp:inline>
        </w:drawing>
      </w:r>
    </w:p>
    <w:p w:rsidR="00DE3745" w:rsidRDefault="00DE3745">
      <w:r w:rsidRPr="00DE3745">
        <w:rPr>
          <w:noProof/>
          <w:lang w:eastAsia="tr-TR"/>
        </w:rPr>
        <w:lastRenderedPageBreak/>
        <w:drawing>
          <wp:inline distT="0" distB="0" distL="0" distR="0" wp14:anchorId="23EF4E33" wp14:editId="72857D15">
            <wp:extent cx="5760720" cy="39357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935730"/>
                    </a:xfrm>
                    <a:prstGeom prst="rect">
                      <a:avLst/>
                    </a:prstGeom>
                  </pic:spPr>
                </pic:pic>
              </a:graphicData>
            </a:graphic>
          </wp:inline>
        </w:drawing>
      </w:r>
    </w:p>
    <w:p w:rsidR="00DE3745" w:rsidRDefault="00DE3745">
      <w:r w:rsidRPr="00DE3745">
        <w:rPr>
          <w:noProof/>
          <w:lang w:eastAsia="tr-TR"/>
        </w:rPr>
        <w:drawing>
          <wp:inline distT="0" distB="0" distL="0" distR="0" wp14:anchorId="38BB04FF" wp14:editId="33511AFB">
            <wp:extent cx="5760720" cy="31153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115310"/>
                    </a:xfrm>
                    <a:prstGeom prst="rect">
                      <a:avLst/>
                    </a:prstGeom>
                  </pic:spPr>
                </pic:pic>
              </a:graphicData>
            </a:graphic>
          </wp:inline>
        </w:drawing>
      </w:r>
    </w:p>
    <w:p w:rsidR="00FA7BF3" w:rsidRDefault="00FA7BF3">
      <w:r w:rsidRPr="00FA7BF3">
        <w:rPr>
          <w:noProof/>
          <w:lang w:eastAsia="tr-TR"/>
        </w:rPr>
        <w:lastRenderedPageBreak/>
        <w:drawing>
          <wp:inline distT="0" distB="0" distL="0" distR="0" wp14:anchorId="50EBD753" wp14:editId="5EA6DE47">
            <wp:extent cx="5760720" cy="3583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583940"/>
                    </a:xfrm>
                    <a:prstGeom prst="rect">
                      <a:avLst/>
                    </a:prstGeom>
                  </pic:spPr>
                </pic:pic>
              </a:graphicData>
            </a:graphic>
          </wp:inline>
        </w:drawing>
      </w:r>
    </w:p>
    <w:p w:rsidR="00FA7BF3" w:rsidRDefault="00FA7BF3">
      <w:r w:rsidRPr="00FA7BF3">
        <w:rPr>
          <w:noProof/>
          <w:lang w:eastAsia="tr-TR"/>
        </w:rPr>
        <w:drawing>
          <wp:inline distT="0" distB="0" distL="0" distR="0" wp14:anchorId="78800449" wp14:editId="5FF7A048">
            <wp:extent cx="5760720" cy="3378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78835"/>
                    </a:xfrm>
                    <a:prstGeom prst="rect">
                      <a:avLst/>
                    </a:prstGeom>
                  </pic:spPr>
                </pic:pic>
              </a:graphicData>
            </a:graphic>
          </wp:inline>
        </w:drawing>
      </w:r>
    </w:p>
    <w:p w:rsidR="00FA7BF3" w:rsidRDefault="00FA7BF3">
      <w:r w:rsidRPr="00FA7BF3">
        <w:rPr>
          <w:noProof/>
          <w:lang w:eastAsia="tr-TR"/>
        </w:rPr>
        <w:lastRenderedPageBreak/>
        <w:drawing>
          <wp:inline distT="0" distB="0" distL="0" distR="0" wp14:anchorId="0AF1005C" wp14:editId="2C61430B">
            <wp:extent cx="5760720" cy="3382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82645"/>
                    </a:xfrm>
                    <a:prstGeom prst="rect">
                      <a:avLst/>
                    </a:prstGeom>
                  </pic:spPr>
                </pic:pic>
              </a:graphicData>
            </a:graphic>
          </wp:inline>
        </w:drawing>
      </w:r>
    </w:p>
    <w:p w:rsidR="00FA7BF3" w:rsidRDefault="00FA7BF3">
      <w:r w:rsidRPr="00FA7BF3">
        <w:rPr>
          <w:noProof/>
          <w:lang w:eastAsia="tr-TR"/>
        </w:rPr>
        <w:drawing>
          <wp:inline distT="0" distB="0" distL="0" distR="0" wp14:anchorId="37D0746F" wp14:editId="5A9F6792">
            <wp:extent cx="5760720" cy="3768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768725"/>
                    </a:xfrm>
                    <a:prstGeom prst="rect">
                      <a:avLst/>
                    </a:prstGeom>
                  </pic:spPr>
                </pic:pic>
              </a:graphicData>
            </a:graphic>
          </wp:inline>
        </w:drawing>
      </w:r>
    </w:p>
    <w:p w:rsidR="00FA7BF3" w:rsidRDefault="00FA7BF3">
      <w:r w:rsidRPr="00FA7BF3">
        <w:rPr>
          <w:noProof/>
          <w:lang w:eastAsia="tr-TR"/>
        </w:rPr>
        <w:lastRenderedPageBreak/>
        <w:drawing>
          <wp:inline distT="0" distB="0" distL="0" distR="0" wp14:anchorId="6C036D9F" wp14:editId="4E11B924">
            <wp:extent cx="5760720" cy="3359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359785"/>
                    </a:xfrm>
                    <a:prstGeom prst="rect">
                      <a:avLst/>
                    </a:prstGeom>
                  </pic:spPr>
                </pic:pic>
              </a:graphicData>
            </a:graphic>
          </wp:inline>
        </w:drawing>
      </w:r>
    </w:p>
    <w:p w:rsidR="00FA7BF3" w:rsidRDefault="00FA7BF3">
      <w:r w:rsidRPr="00FA7BF3">
        <w:rPr>
          <w:noProof/>
          <w:lang w:eastAsia="tr-TR"/>
        </w:rPr>
        <w:drawing>
          <wp:inline distT="0" distB="0" distL="0" distR="0" wp14:anchorId="30E1E1C6" wp14:editId="6E61EAA1">
            <wp:extent cx="5760720" cy="3244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4850"/>
                    </a:xfrm>
                    <a:prstGeom prst="rect">
                      <a:avLst/>
                    </a:prstGeom>
                  </pic:spPr>
                </pic:pic>
              </a:graphicData>
            </a:graphic>
          </wp:inline>
        </w:drawing>
      </w:r>
    </w:p>
    <w:p w:rsidR="00FA7BF3" w:rsidRDefault="00FA7BF3"/>
    <w:p w:rsidR="00FA7BF3" w:rsidRPr="00647443" w:rsidRDefault="00FA7BF3">
      <w:pPr>
        <w:rPr>
          <w:color w:val="FF0000"/>
        </w:rPr>
      </w:pPr>
      <w:r w:rsidRPr="00647443">
        <w:rPr>
          <w:color w:val="FF0000"/>
        </w:rPr>
        <w:t>Örnek Yapıyor</w:t>
      </w:r>
    </w:p>
    <w:p w:rsidR="00FA7BF3" w:rsidRDefault="0096478C">
      <w:pPr>
        <w:rPr>
          <w:rStyle w:val="Hyperlink"/>
        </w:rPr>
      </w:pPr>
      <w:hyperlink r:id="rId21" w:history="1">
        <w:r w:rsidR="00FA7BF3" w:rsidRPr="00EE45C6">
          <w:rPr>
            <w:rStyle w:val="Hyperlink"/>
          </w:rPr>
          <w:t>https://youtu.be/jZx8PMQjobk?t=42755</w:t>
        </w:r>
      </w:hyperlink>
    </w:p>
    <w:p w:rsidR="000858F9" w:rsidRDefault="000858F9">
      <w:r w:rsidRPr="000858F9">
        <w:lastRenderedPageBreak/>
        <w:drawing>
          <wp:inline distT="0" distB="0" distL="0" distR="0" wp14:anchorId="4E886A3E" wp14:editId="589C972B">
            <wp:extent cx="5760720" cy="236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368550"/>
                    </a:xfrm>
                    <a:prstGeom prst="rect">
                      <a:avLst/>
                    </a:prstGeom>
                  </pic:spPr>
                </pic:pic>
              </a:graphicData>
            </a:graphic>
          </wp:inline>
        </w:drawing>
      </w:r>
    </w:p>
    <w:p w:rsidR="006024A1" w:rsidRPr="006024A1" w:rsidRDefault="006024A1" w:rsidP="006024A1">
      <w:pPr>
        <w:shd w:val="clear" w:color="auto" w:fill="FFFFFF"/>
        <w:spacing w:before="480" w:after="180" w:line="240" w:lineRule="auto"/>
        <w:outlineLvl w:val="1"/>
        <w:rPr>
          <w:rFonts w:ascii="Segoe UI" w:eastAsia="Times New Roman" w:hAnsi="Segoe UI" w:cs="Segoe UI"/>
          <w:b/>
          <w:bCs/>
          <w:color w:val="161616"/>
          <w:sz w:val="36"/>
          <w:szCs w:val="36"/>
          <w:lang w:eastAsia="tr-TR"/>
        </w:rPr>
      </w:pPr>
      <w:r w:rsidRPr="006024A1">
        <w:rPr>
          <w:rFonts w:ascii="Segoe UI" w:eastAsia="Times New Roman" w:hAnsi="Segoe UI" w:cs="Segoe UI"/>
          <w:b/>
          <w:bCs/>
          <w:color w:val="161616"/>
          <w:sz w:val="36"/>
          <w:szCs w:val="36"/>
          <w:lang w:eastAsia="tr-TR"/>
        </w:rPr>
        <w:t>Key concepts</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Event Hubs contains the following key components:</w:t>
      </w:r>
    </w:p>
    <w:p w:rsidR="006024A1" w:rsidRPr="006024A1" w:rsidRDefault="006024A1" w:rsidP="006024A1">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An </w:t>
      </w:r>
      <w:r w:rsidRPr="006024A1">
        <w:rPr>
          <w:rFonts w:ascii="Segoe UI" w:eastAsia="Times New Roman" w:hAnsi="Segoe UI" w:cs="Segoe UI"/>
          <w:b/>
          <w:bCs/>
          <w:color w:val="161616"/>
          <w:sz w:val="24"/>
          <w:szCs w:val="24"/>
          <w:lang w:eastAsia="tr-TR"/>
        </w:rPr>
        <w:t>Event Hubs client</w:t>
      </w:r>
      <w:r w:rsidRPr="006024A1">
        <w:rPr>
          <w:rFonts w:ascii="Segoe UI" w:eastAsia="Times New Roman" w:hAnsi="Segoe UI" w:cs="Segoe UI"/>
          <w:color w:val="161616"/>
          <w:sz w:val="24"/>
          <w:szCs w:val="24"/>
          <w:lang w:eastAsia="tr-TR"/>
        </w:rPr>
        <w:t> is the primary interface for developers interacting with the Event Hubs client library. There are several different Event Hub clients, each dedicated to a specific use of Event Hubs, such as publishing or consuming events.</w:t>
      </w:r>
    </w:p>
    <w:p w:rsidR="006024A1" w:rsidRPr="006024A1" w:rsidRDefault="006024A1" w:rsidP="006024A1">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An </w:t>
      </w:r>
      <w:r w:rsidRPr="006024A1">
        <w:rPr>
          <w:rFonts w:ascii="Segoe UI" w:eastAsia="Times New Roman" w:hAnsi="Segoe UI" w:cs="Segoe UI"/>
          <w:b/>
          <w:bCs/>
          <w:color w:val="161616"/>
          <w:sz w:val="24"/>
          <w:szCs w:val="24"/>
          <w:lang w:eastAsia="tr-TR"/>
        </w:rPr>
        <w:t>Event Hubs producer</w:t>
      </w:r>
      <w:r w:rsidRPr="006024A1">
        <w:rPr>
          <w:rFonts w:ascii="Segoe UI" w:eastAsia="Times New Roman" w:hAnsi="Segoe UI" w:cs="Segoe UI"/>
          <w:color w:val="161616"/>
          <w:sz w:val="24"/>
          <w:szCs w:val="24"/>
          <w:lang w:eastAsia="tr-TR"/>
        </w:rPr>
        <w:t> is a type of client that serves as a source of telemetry data, diagnostics information, usage logs, or other log data, as part of an embedded device solution, a mobile device application, a game title running on a console or other device, some client or server based business solution, or a web site.</w:t>
      </w:r>
    </w:p>
    <w:p w:rsidR="006024A1" w:rsidRPr="006024A1" w:rsidRDefault="006024A1" w:rsidP="006024A1">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An </w:t>
      </w:r>
      <w:r w:rsidRPr="006024A1">
        <w:rPr>
          <w:rFonts w:ascii="Segoe UI" w:eastAsia="Times New Roman" w:hAnsi="Segoe UI" w:cs="Segoe UI"/>
          <w:b/>
          <w:bCs/>
          <w:color w:val="161616"/>
          <w:sz w:val="24"/>
          <w:szCs w:val="24"/>
          <w:lang w:eastAsia="tr-TR"/>
        </w:rPr>
        <w:t>Event Hubs consumer</w:t>
      </w:r>
      <w:r w:rsidRPr="006024A1">
        <w:rPr>
          <w:rFonts w:ascii="Segoe UI" w:eastAsia="Times New Roman" w:hAnsi="Segoe UI" w:cs="Segoe UI"/>
          <w:color w:val="161616"/>
          <w:sz w:val="24"/>
          <w:szCs w:val="24"/>
          <w:lang w:eastAsia="tr-TR"/>
        </w:rPr>
        <w:t> is a type of client which reads information from the Event Hub and allows processing of it. Processing may involve aggregation, complex computation and filtering. Processing may also involve distribution or storage of the information in a raw or transformed fashion. Event Hub consumers are often robust and high-scale platform infrastructure parts with built-in analytics capabilities, like Azure Stream Analytics, Apache Spark.</w:t>
      </w:r>
    </w:p>
    <w:p w:rsidR="006024A1" w:rsidRPr="006024A1" w:rsidRDefault="006024A1" w:rsidP="006024A1">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A </w:t>
      </w:r>
      <w:r w:rsidRPr="006024A1">
        <w:rPr>
          <w:rFonts w:ascii="Segoe UI" w:eastAsia="Times New Roman" w:hAnsi="Segoe UI" w:cs="Segoe UI"/>
          <w:b/>
          <w:bCs/>
          <w:color w:val="161616"/>
          <w:sz w:val="24"/>
          <w:szCs w:val="24"/>
          <w:lang w:eastAsia="tr-TR"/>
        </w:rPr>
        <w:t>partition</w:t>
      </w:r>
      <w:r w:rsidRPr="006024A1">
        <w:rPr>
          <w:rFonts w:ascii="Segoe UI" w:eastAsia="Times New Roman" w:hAnsi="Segoe UI" w:cs="Segoe UI"/>
          <w:color w:val="161616"/>
          <w:sz w:val="24"/>
          <w:szCs w:val="24"/>
          <w:lang w:eastAsia="tr-TR"/>
        </w:rPr>
        <w:t> is an ordered sequence of events that is held in an Event Hubs. Partitions are a means of data organization associated with the parallelism required by event consumers. Azure Event Hubs provides message streaming through a partitioned consumer pattern in which each consumer only reads a specific subset, or partition, of the message stream. As newer events arrive, they are added to the end of this sequence. The number of partitions is specified at the time an Event Hub is created and cannot be changed.</w:t>
      </w:r>
    </w:p>
    <w:p w:rsidR="006024A1" w:rsidRPr="006024A1" w:rsidRDefault="006024A1" w:rsidP="006024A1">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A </w:t>
      </w:r>
      <w:r w:rsidRPr="006024A1">
        <w:rPr>
          <w:rFonts w:ascii="Segoe UI" w:eastAsia="Times New Roman" w:hAnsi="Segoe UI" w:cs="Segoe UI"/>
          <w:b/>
          <w:bCs/>
          <w:color w:val="161616"/>
          <w:sz w:val="24"/>
          <w:szCs w:val="24"/>
          <w:lang w:eastAsia="tr-TR"/>
        </w:rPr>
        <w:t>consumer group</w:t>
      </w:r>
      <w:r w:rsidRPr="006024A1">
        <w:rPr>
          <w:rFonts w:ascii="Segoe UI" w:eastAsia="Times New Roman" w:hAnsi="Segoe UI" w:cs="Segoe UI"/>
          <w:color w:val="161616"/>
          <w:sz w:val="24"/>
          <w:szCs w:val="24"/>
          <w:lang w:eastAsia="tr-TR"/>
        </w:rPr>
        <w:t xml:space="preserve"> is a view of an entire Event Hubs. Consumer groups enable multiple consuming applications to each have a separate view of the event stream, and to read the stream independently at their own pace and from their own position. There can be at most 5 concurrent readers on a partition per </w:t>
      </w:r>
      <w:r w:rsidRPr="006024A1">
        <w:rPr>
          <w:rFonts w:ascii="Segoe UI" w:eastAsia="Times New Roman" w:hAnsi="Segoe UI" w:cs="Segoe UI"/>
          <w:color w:val="161616"/>
          <w:sz w:val="24"/>
          <w:szCs w:val="24"/>
          <w:lang w:eastAsia="tr-TR"/>
        </w:rPr>
        <w:lastRenderedPageBreak/>
        <w:t>consumer group; however it is recommended that there is only one active consumer for a given partition and consumer group pairing. Each active reader receives all of the events from its partition; if there are multiple readers on the same partition, then they will receive duplicate events.</w:t>
      </w:r>
    </w:p>
    <w:p w:rsidR="006024A1" w:rsidRPr="006024A1" w:rsidRDefault="006024A1" w:rsidP="006024A1">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6024A1">
        <w:rPr>
          <w:rFonts w:ascii="Segoe UI" w:eastAsia="Times New Roman" w:hAnsi="Segoe UI" w:cs="Segoe UI"/>
          <w:b/>
          <w:bCs/>
          <w:color w:val="161616"/>
          <w:sz w:val="24"/>
          <w:szCs w:val="24"/>
          <w:lang w:eastAsia="tr-TR"/>
        </w:rPr>
        <w:t>Event receivers</w:t>
      </w:r>
      <w:r w:rsidRPr="006024A1">
        <w:rPr>
          <w:rFonts w:ascii="Segoe UI" w:eastAsia="Times New Roman" w:hAnsi="Segoe UI" w:cs="Segoe UI"/>
          <w:color w:val="161616"/>
          <w:sz w:val="24"/>
          <w:szCs w:val="24"/>
          <w:lang w:eastAsia="tr-TR"/>
        </w:rPr>
        <w:t>: Any entity that reads event data from an Event Hubs. All Event Hubs consumers connect via the AMQP 1.0 session. The Event Hubs service delivers events through a session as they become available. All Kafka consumers connect via the Kafka protocol 1.0 and later.</w:t>
      </w:r>
    </w:p>
    <w:p w:rsidR="006024A1" w:rsidRPr="006024A1" w:rsidRDefault="006024A1" w:rsidP="006024A1">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6024A1">
        <w:rPr>
          <w:rFonts w:ascii="Segoe UI" w:eastAsia="Times New Roman" w:hAnsi="Segoe UI" w:cs="Segoe UI"/>
          <w:b/>
          <w:bCs/>
          <w:color w:val="161616"/>
          <w:sz w:val="24"/>
          <w:szCs w:val="24"/>
          <w:lang w:eastAsia="tr-TR"/>
        </w:rPr>
        <w:t>Throughput units</w:t>
      </w:r>
      <w:r w:rsidRPr="006024A1">
        <w:rPr>
          <w:rFonts w:ascii="Segoe UI" w:eastAsia="Times New Roman" w:hAnsi="Segoe UI" w:cs="Segoe UI"/>
          <w:color w:val="161616"/>
          <w:sz w:val="24"/>
          <w:szCs w:val="24"/>
          <w:lang w:eastAsia="tr-TR"/>
        </w:rPr>
        <w:t> or </w:t>
      </w:r>
      <w:r w:rsidRPr="006024A1">
        <w:rPr>
          <w:rFonts w:ascii="Segoe UI" w:eastAsia="Times New Roman" w:hAnsi="Segoe UI" w:cs="Segoe UI"/>
          <w:b/>
          <w:bCs/>
          <w:color w:val="161616"/>
          <w:sz w:val="24"/>
          <w:szCs w:val="24"/>
          <w:lang w:eastAsia="tr-TR"/>
        </w:rPr>
        <w:t>processing units</w:t>
      </w:r>
      <w:r w:rsidRPr="006024A1">
        <w:rPr>
          <w:rFonts w:ascii="Segoe UI" w:eastAsia="Times New Roman" w:hAnsi="Segoe UI" w:cs="Segoe UI"/>
          <w:color w:val="161616"/>
          <w:sz w:val="24"/>
          <w:szCs w:val="24"/>
          <w:lang w:eastAsia="tr-TR"/>
        </w:rPr>
        <w:t>: Pre-purchased units of capacity that control the throughput capacity of Event Hubs.</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The following figure shows the Event Hubs stream processing architecture:</w:t>
      </w:r>
    </w:p>
    <w:p w:rsidR="006024A1" w:rsidRDefault="006024A1">
      <w:r w:rsidRPr="006024A1">
        <w:drawing>
          <wp:inline distT="0" distB="0" distL="0" distR="0" wp14:anchorId="23E5A7ED" wp14:editId="0E13CB2B">
            <wp:extent cx="5760720" cy="2545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45715"/>
                    </a:xfrm>
                    <a:prstGeom prst="rect">
                      <a:avLst/>
                    </a:prstGeom>
                  </pic:spPr>
                </pic:pic>
              </a:graphicData>
            </a:graphic>
          </wp:inline>
        </w:drawing>
      </w:r>
    </w:p>
    <w:p w:rsid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Azure Event Hubs enables you to automatically capture the streaming data in Event Hubs in an Azure Blob storage or Azure Data Lake Storage account of your choice, with the added flexibility of specifying a time or size interval. Setting up Capture is fast, there are no administrative costs to run it, and it scales automatically with Event Hubs throughput units in the standard tier or processing units in the premium tier.</w:t>
      </w:r>
    </w:p>
    <w:p w:rsidR="006024A1" w:rsidRDefault="006024A1" w:rsidP="006024A1">
      <w:pPr>
        <w:pStyle w:val="Heading1"/>
        <w:spacing w:before="0"/>
      </w:pPr>
      <w:r>
        <w:t>Explore Event Hubs Capture</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Pr>
          <w:rFonts w:ascii="docons" w:hAnsi="docons"/>
          <w:sz w:val="14"/>
          <w:szCs w:val="14"/>
        </w:rPr>
        <w:br/>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noProof/>
          <w:color w:val="161616"/>
          <w:sz w:val="24"/>
          <w:szCs w:val="24"/>
          <w:lang w:eastAsia="tr-TR"/>
        </w:rPr>
        <w:lastRenderedPageBreak/>
        <w:drawing>
          <wp:inline distT="0" distB="0" distL="0" distR="0">
            <wp:extent cx="5893940" cy="2727960"/>
            <wp:effectExtent l="0" t="0" r="0" b="0"/>
            <wp:docPr id="19" name="Picture 19" descr="Image showing capturing of Event Hubs data into Azure Storage or Azure Data Lak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capturing of Event Hubs data into Azure Storage or Azure Data Lake Stor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7055" cy="2729402"/>
                    </a:xfrm>
                    <a:prstGeom prst="rect">
                      <a:avLst/>
                    </a:prstGeom>
                    <a:noFill/>
                    <a:ln>
                      <a:noFill/>
                    </a:ln>
                  </pic:spPr>
                </pic:pic>
              </a:graphicData>
            </a:graphic>
          </wp:inline>
        </w:drawing>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Event Hubs Capture enables you to process real-time and batch-based pipelines on the same stream. This means you can build solutions that grow with your needs over time.</w:t>
      </w:r>
    </w:p>
    <w:p w:rsidR="006024A1" w:rsidRDefault="006024A1" w:rsidP="006024A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How Event Hubs Capture works</w:t>
      </w:r>
    </w:p>
    <w:p w:rsidR="006024A1" w:rsidRDefault="006024A1" w:rsidP="006024A1">
      <w:pPr>
        <w:pStyle w:val="NormalWeb"/>
        <w:shd w:val="clear" w:color="auto" w:fill="FFFFFF"/>
        <w:rPr>
          <w:rFonts w:ascii="Segoe UI" w:hAnsi="Segoe UI" w:cs="Segoe UI"/>
          <w:color w:val="161616"/>
        </w:rPr>
      </w:pPr>
      <w:r>
        <w:rPr>
          <w:rFonts w:ascii="Segoe UI" w:hAnsi="Segoe UI" w:cs="Segoe UI"/>
          <w:color w:val="161616"/>
        </w:rPr>
        <w:t>Event Hubs is a time-retention durable buffer for telemetry ingress, similar to a distributed log. The key to scaling in Event Hubs is the partitioned consumer model. Each partition is an independent segment of data and is consumed independently. Over time this data ages off, based on the configurable retention period. As a result, a given event hub never gets "too full."</w:t>
      </w:r>
    </w:p>
    <w:p w:rsidR="006024A1" w:rsidRDefault="006024A1" w:rsidP="006024A1">
      <w:pPr>
        <w:pStyle w:val="NormalWeb"/>
        <w:shd w:val="clear" w:color="auto" w:fill="FFFFFF"/>
        <w:rPr>
          <w:rFonts w:ascii="Segoe UI" w:hAnsi="Segoe UI" w:cs="Segoe UI"/>
          <w:color w:val="161616"/>
        </w:rPr>
      </w:pPr>
      <w:r>
        <w:rPr>
          <w:rFonts w:ascii="Segoe UI" w:hAnsi="Segoe UI" w:cs="Segoe UI"/>
          <w:color w:val="161616"/>
        </w:rPr>
        <w:t>Event Hubs Capture enables you to specify your own Azure Blob storage account and container, or Azure Data Lake Store account, which are used to store the captured data. These accounts can be in the same region as your event hub or in another region, adding to the flexibility of the Event Hubs Capture feature.</w:t>
      </w:r>
    </w:p>
    <w:p w:rsidR="006024A1" w:rsidRDefault="006024A1" w:rsidP="006024A1">
      <w:pPr>
        <w:pStyle w:val="NormalWeb"/>
        <w:shd w:val="clear" w:color="auto" w:fill="FFFFFF"/>
        <w:rPr>
          <w:rFonts w:ascii="Segoe UI" w:hAnsi="Segoe UI" w:cs="Segoe UI"/>
          <w:color w:val="161616"/>
        </w:rPr>
      </w:pPr>
      <w:r>
        <w:rPr>
          <w:rFonts w:ascii="Segoe UI" w:hAnsi="Segoe UI" w:cs="Segoe UI"/>
          <w:color w:val="161616"/>
        </w:rPr>
        <w:t>Captured data is written in Apache Avro format: a compact, fast, binary format that provides rich data structures with inline schema. This format is widely used in the Hadoop ecosystem, Stream Analytics, and Azure Data Factory. More information about working with Avro is available later in this article.</w:t>
      </w:r>
    </w:p>
    <w:p w:rsidR="006024A1" w:rsidRPr="006024A1" w:rsidRDefault="006024A1" w:rsidP="006024A1">
      <w:pPr>
        <w:shd w:val="clear" w:color="auto" w:fill="FFFFFF"/>
        <w:spacing w:before="480" w:after="180" w:line="240" w:lineRule="auto"/>
        <w:outlineLvl w:val="1"/>
        <w:rPr>
          <w:rFonts w:ascii="Segoe UI" w:eastAsia="Times New Roman" w:hAnsi="Segoe UI" w:cs="Segoe UI"/>
          <w:b/>
          <w:bCs/>
          <w:color w:val="161616"/>
          <w:sz w:val="36"/>
          <w:szCs w:val="36"/>
          <w:lang w:eastAsia="tr-TR"/>
        </w:rPr>
      </w:pPr>
      <w:r w:rsidRPr="006024A1">
        <w:rPr>
          <w:rFonts w:ascii="Segoe UI" w:eastAsia="Times New Roman" w:hAnsi="Segoe UI" w:cs="Segoe UI"/>
          <w:b/>
          <w:bCs/>
          <w:color w:val="161616"/>
          <w:sz w:val="36"/>
          <w:szCs w:val="36"/>
          <w:lang w:eastAsia="tr-TR"/>
        </w:rPr>
        <w:t>Example scenario</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 xml:space="preserve">As an example scenario, consider a home security company that monitors 100,000 homes. Every minute, it gets data from various sensors such as a motion detector, door/window open sensor, glass break detector, and so on, installed in each home. </w:t>
      </w:r>
      <w:r w:rsidRPr="006024A1">
        <w:rPr>
          <w:rFonts w:ascii="Segoe UI" w:eastAsia="Times New Roman" w:hAnsi="Segoe UI" w:cs="Segoe UI"/>
          <w:color w:val="161616"/>
          <w:sz w:val="24"/>
          <w:szCs w:val="24"/>
          <w:lang w:eastAsia="tr-TR"/>
        </w:rPr>
        <w:lastRenderedPageBreak/>
        <w:t>The company provides a web site for residents to monitor the activity of their home in near real time.</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Each sensor pushes data to an event hub. The event hub is configured with 16 partitions. On the consuming end, you need a mechanism that can read these events, consolidate them, and dump the aggregate to a storage blob, which is then projected to a user-friendly web page.</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When designing the consumer in a distributed environment, the scenario must handle the following requirements:</w:t>
      </w:r>
    </w:p>
    <w:p w:rsidR="006024A1" w:rsidRPr="006024A1" w:rsidRDefault="006024A1" w:rsidP="006024A1">
      <w:pPr>
        <w:numPr>
          <w:ilvl w:val="0"/>
          <w:numId w:val="2"/>
        </w:numPr>
        <w:shd w:val="clear" w:color="auto" w:fill="FFFFFF"/>
        <w:spacing w:after="0" w:line="240" w:lineRule="auto"/>
        <w:ind w:left="570"/>
        <w:rPr>
          <w:rFonts w:ascii="Segoe UI" w:eastAsia="Times New Roman" w:hAnsi="Segoe UI" w:cs="Segoe UI"/>
          <w:color w:val="161616"/>
          <w:sz w:val="24"/>
          <w:szCs w:val="24"/>
          <w:lang w:eastAsia="tr-TR"/>
        </w:rPr>
      </w:pPr>
      <w:r w:rsidRPr="006024A1">
        <w:rPr>
          <w:rFonts w:ascii="Segoe UI" w:eastAsia="Times New Roman" w:hAnsi="Segoe UI" w:cs="Segoe UI"/>
          <w:b/>
          <w:bCs/>
          <w:color w:val="161616"/>
          <w:sz w:val="24"/>
          <w:szCs w:val="24"/>
          <w:lang w:eastAsia="tr-TR"/>
        </w:rPr>
        <w:t>Scale:</w:t>
      </w:r>
      <w:r w:rsidRPr="006024A1">
        <w:rPr>
          <w:rFonts w:ascii="Segoe UI" w:eastAsia="Times New Roman" w:hAnsi="Segoe UI" w:cs="Segoe UI"/>
          <w:color w:val="161616"/>
          <w:sz w:val="24"/>
          <w:szCs w:val="24"/>
          <w:lang w:eastAsia="tr-TR"/>
        </w:rPr>
        <w:t> Create multiple consumers, with each consumer taking ownership of reading from a few Event Hubs partitions.</w:t>
      </w:r>
    </w:p>
    <w:p w:rsidR="006024A1" w:rsidRPr="006024A1" w:rsidRDefault="006024A1" w:rsidP="006024A1">
      <w:pPr>
        <w:numPr>
          <w:ilvl w:val="0"/>
          <w:numId w:val="2"/>
        </w:numPr>
        <w:shd w:val="clear" w:color="auto" w:fill="FFFFFF"/>
        <w:spacing w:after="0" w:line="240" w:lineRule="auto"/>
        <w:ind w:left="570"/>
        <w:rPr>
          <w:rFonts w:ascii="Segoe UI" w:eastAsia="Times New Roman" w:hAnsi="Segoe UI" w:cs="Segoe UI"/>
          <w:color w:val="161616"/>
          <w:sz w:val="24"/>
          <w:szCs w:val="24"/>
          <w:lang w:eastAsia="tr-TR"/>
        </w:rPr>
      </w:pPr>
      <w:r w:rsidRPr="006024A1">
        <w:rPr>
          <w:rFonts w:ascii="Segoe UI" w:eastAsia="Times New Roman" w:hAnsi="Segoe UI" w:cs="Segoe UI"/>
          <w:b/>
          <w:bCs/>
          <w:color w:val="161616"/>
          <w:sz w:val="24"/>
          <w:szCs w:val="24"/>
          <w:lang w:eastAsia="tr-TR"/>
        </w:rPr>
        <w:t>Load balance:</w:t>
      </w:r>
      <w:r w:rsidRPr="006024A1">
        <w:rPr>
          <w:rFonts w:ascii="Segoe UI" w:eastAsia="Times New Roman" w:hAnsi="Segoe UI" w:cs="Segoe UI"/>
          <w:color w:val="161616"/>
          <w:sz w:val="24"/>
          <w:szCs w:val="24"/>
          <w:lang w:eastAsia="tr-TR"/>
        </w:rPr>
        <w:t> Increase or reduce the consumers dynamically. For example, when a new sensor type (for example, a carbon monoxide detector) is added to each home, the number of events increases. In that case, the operator (a human) increases the number of consumer instances. Then, the pool of consumers can rebalance the number of partitions they own, to share the load with the newly added consumers.</w:t>
      </w:r>
    </w:p>
    <w:p w:rsidR="006024A1" w:rsidRPr="006024A1" w:rsidRDefault="006024A1" w:rsidP="006024A1">
      <w:pPr>
        <w:numPr>
          <w:ilvl w:val="0"/>
          <w:numId w:val="2"/>
        </w:numPr>
        <w:shd w:val="clear" w:color="auto" w:fill="FFFFFF"/>
        <w:spacing w:after="0" w:line="240" w:lineRule="auto"/>
        <w:ind w:left="570"/>
        <w:rPr>
          <w:rFonts w:ascii="Segoe UI" w:eastAsia="Times New Roman" w:hAnsi="Segoe UI" w:cs="Segoe UI"/>
          <w:color w:val="161616"/>
          <w:sz w:val="24"/>
          <w:szCs w:val="24"/>
          <w:lang w:eastAsia="tr-TR"/>
        </w:rPr>
      </w:pPr>
      <w:r w:rsidRPr="006024A1">
        <w:rPr>
          <w:rFonts w:ascii="Segoe UI" w:eastAsia="Times New Roman" w:hAnsi="Segoe UI" w:cs="Segoe UI"/>
          <w:b/>
          <w:bCs/>
          <w:color w:val="161616"/>
          <w:sz w:val="24"/>
          <w:szCs w:val="24"/>
          <w:lang w:eastAsia="tr-TR"/>
        </w:rPr>
        <w:t>Seamless resume on failures:</w:t>
      </w:r>
      <w:r w:rsidRPr="006024A1">
        <w:rPr>
          <w:rFonts w:ascii="Segoe UI" w:eastAsia="Times New Roman" w:hAnsi="Segoe UI" w:cs="Segoe UI"/>
          <w:color w:val="161616"/>
          <w:sz w:val="24"/>
          <w:szCs w:val="24"/>
          <w:lang w:eastAsia="tr-TR"/>
        </w:rPr>
        <w:t> If a consumer (</w:t>
      </w:r>
      <w:r w:rsidRPr="006024A1">
        <w:rPr>
          <w:rFonts w:ascii="Segoe UI" w:eastAsia="Times New Roman" w:hAnsi="Segoe UI" w:cs="Segoe UI"/>
          <w:b/>
          <w:bCs/>
          <w:color w:val="161616"/>
          <w:sz w:val="24"/>
          <w:szCs w:val="24"/>
          <w:lang w:eastAsia="tr-TR"/>
        </w:rPr>
        <w:t>consumer A</w:t>
      </w:r>
      <w:r w:rsidRPr="006024A1">
        <w:rPr>
          <w:rFonts w:ascii="Segoe UI" w:eastAsia="Times New Roman" w:hAnsi="Segoe UI" w:cs="Segoe UI"/>
          <w:color w:val="161616"/>
          <w:sz w:val="24"/>
          <w:szCs w:val="24"/>
          <w:lang w:eastAsia="tr-TR"/>
        </w:rPr>
        <w:t>) fails (for example, the virtual machine hosting the consumer suddenly crashes), then other consumers can pick up the partitions owned by </w:t>
      </w:r>
      <w:r w:rsidRPr="006024A1">
        <w:rPr>
          <w:rFonts w:ascii="Segoe UI" w:eastAsia="Times New Roman" w:hAnsi="Segoe UI" w:cs="Segoe UI"/>
          <w:b/>
          <w:bCs/>
          <w:color w:val="161616"/>
          <w:sz w:val="24"/>
          <w:szCs w:val="24"/>
          <w:lang w:eastAsia="tr-TR"/>
        </w:rPr>
        <w:t>consumer A</w:t>
      </w:r>
      <w:r w:rsidRPr="006024A1">
        <w:rPr>
          <w:rFonts w:ascii="Segoe UI" w:eastAsia="Times New Roman" w:hAnsi="Segoe UI" w:cs="Segoe UI"/>
          <w:color w:val="161616"/>
          <w:sz w:val="24"/>
          <w:szCs w:val="24"/>
          <w:lang w:eastAsia="tr-TR"/>
        </w:rPr>
        <w:t> and continue. Also, the continuation point, called a </w:t>
      </w:r>
      <w:r w:rsidRPr="006024A1">
        <w:rPr>
          <w:rFonts w:ascii="Segoe UI" w:eastAsia="Times New Roman" w:hAnsi="Segoe UI" w:cs="Segoe UI"/>
          <w:i/>
          <w:iCs/>
          <w:color w:val="161616"/>
          <w:sz w:val="24"/>
          <w:szCs w:val="24"/>
          <w:lang w:eastAsia="tr-TR"/>
        </w:rPr>
        <w:t>checkpoint</w:t>
      </w:r>
      <w:r w:rsidRPr="006024A1">
        <w:rPr>
          <w:rFonts w:ascii="Segoe UI" w:eastAsia="Times New Roman" w:hAnsi="Segoe UI" w:cs="Segoe UI"/>
          <w:color w:val="161616"/>
          <w:sz w:val="24"/>
          <w:szCs w:val="24"/>
          <w:lang w:eastAsia="tr-TR"/>
        </w:rPr>
        <w:t> or </w:t>
      </w:r>
      <w:r w:rsidRPr="006024A1">
        <w:rPr>
          <w:rFonts w:ascii="Segoe UI" w:eastAsia="Times New Roman" w:hAnsi="Segoe UI" w:cs="Segoe UI"/>
          <w:i/>
          <w:iCs/>
          <w:color w:val="161616"/>
          <w:sz w:val="24"/>
          <w:szCs w:val="24"/>
          <w:lang w:eastAsia="tr-TR"/>
        </w:rPr>
        <w:t>offset</w:t>
      </w:r>
      <w:r w:rsidRPr="006024A1">
        <w:rPr>
          <w:rFonts w:ascii="Segoe UI" w:eastAsia="Times New Roman" w:hAnsi="Segoe UI" w:cs="Segoe UI"/>
          <w:color w:val="161616"/>
          <w:sz w:val="24"/>
          <w:szCs w:val="24"/>
          <w:lang w:eastAsia="tr-TR"/>
        </w:rPr>
        <w:t>, should be at the exact point at which </w:t>
      </w:r>
      <w:r w:rsidRPr="006024A1">
        <w:rPr>
          <w:rFonts w:ascii="Segoe UI" w:eastAsia="Times New Roman" w:hAnsi="Segoe UI" w:cs="Segoe UI"/>
          <w:b/>
          <w:bCs/>
          <w:color w:val="161616"/>
          <w:sz w:val="24"/>
          <w:szCs w:val="24"/>
          <w:lang w:eastAsia="tr-TR"/>
        </w:rPr>
        <w:t>consumer A</w:t>
      </w:r>
      <w:r w:rsidRPr="006024A1">
        <w:rPr>
          <w:rFonts w:ascii="Segoe UI" w:eastAsia="Times New Roman" w:hAnsi="Segoe UI" w:cs="Segoe UI"/>
          <w:color w:val="161616"/>
          <w:sz w:val="24"/>
          <w:szCs w:val="24"/>
          <w:lang w:eastAsia="tr-TR"/>
        </w:rPr>
        <w:t> failed, or slightly before that.</w:t>
      </w:r>
    </w:p>
    <w:p w:rsidR="006024A1" w:rsidRPr="006024A1" w:rsidRDefault="006024A1" w:rsidP="006024A1">
      <w:pPr>
        <w:numPr>
          <w:ilvl w:val="0"/>
          <w:numId w:val="2"/>
        </w:numPr>
        <w:shd w:val="clear" w:color="auto" w:fill="FFFFFF"/>
        <w:spacing w:after="0" w:line="240" w:lineRule="auto"/>
        <w:ind w:left="570"/>
        <w:rPr>
          <w:rFonts w:ascii="Segoe UI" w:eastAsia="Times New Roman" w:hAnsi="Segoe UI" w:cs="Segoe UI"/>
          <w:color w:val="161616"/>
          <w:sz w:val="24"/>
          <w:szCs w:val="24"/>
          <w:lang w:eastAsia="tr-TR"/>
        </w:rPr>
      </w:pPr>
      <w:r w:rsidRPr="006024A1">
        <w:rPr>
          <w:rFonts w:ascii="Segoe UI" w:eastAsia="Times New Roman" w:hAnsi="Segoe UI" w:cs="Segoe UI"/>
          <w:b/>
          <w:bCs/>
          <w:color w:val="161616"/>
          <w:sz w:val="24"/>
          <w:szCs w:val="24"/>
          <w:lang w:eastAsia="tr-TR"/>
        </w:rPr>
        <w:t>Consume events:</w:t>
      </w:r>
      <w:r w:rsidRPr="006024A1">
        <w:rPr>
          <w:rFonts w:ascii="Segoe UI" w:eastAsia="Times New Roman" w:hAnsi="Segoe UI" w:cs="Segoe UI"/>
          <w:color w:val="161616"/>
          <w:sz w:val="24"/>
          <w:szCs w:val="24"/>
          <w:lang w:eastAsia="tr-TR"/>
        </w:rPr>
        <w:t> While the previous three points deal with the management of the consumer, there must be code to consume the events and do something useful with it. For example, aggregate it and upload it to blob storage.</w:t>
      </w:r>
    </w:p>
    <w:p w:rsidR="006024A1" w:rsidRPr="006024A1" w:rsidRDefault="006024A1" w:rsidP="006024A1">
      <w:pPr>
        <w:shd w:val="clear" w:color="auto" w:fill="FFFFFF"/>
        <w:spacing w:before="480" w:after="180" w:line="240" w:lineRule="auto"/>
        <w:outlineLvl w:val="1"/>
        <w:rPr>
          <w:rFonts w:ascii="Segoe UI" w:eastAsia="Times New Roman" w:hAnsi="Segoe UI" w:cs="Segoe UI"/>
          <w:b/>
          <w:bCs/>
          <w:color w:val="161616"/>
          <w:sz w:val="36"/>
          <w:szCs w:val="36"/>
          <w:lang w:eastAsia="tr-TR"/>
        </w:rPr>
      </w:pPr>
      <w:r w:rsidRPr="006024A1">
        <w:rPr>
          <w:rFonts w:ascii="Segoe UI" w:eastAsia="Times New Roman" w:hAnsi="Segoe UI" w:cs="Segoe UI"/>
          <w:b/>
          <w:bCs/>
          <w:color w:val="161616"/>
          <w:sz w:val="36"/>
          <w:szCs w:val="36"/>
          <w:lang w:eastAsia="tr-TR"/>
        </w:rPr>
        <w:t>Event processor or consumer client</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You don't need to build your own solution to meet these requirements. The Azure Event Hubs SDKs provide this functionality. In .NET or Java SDKs, you use an event processor client (</w:t>
      </w:r>
      <w:r w:rsidRPr="006024A1">
        <w:rPr>
          <w:rFonts w:ascii="Consolas" w:eastAsia="Times New Roman" w:hAnsi="Consolas" w:cs="Courier New"/>
          <w:color w:val="161616"/>
          <w:sz w:val="20"/>
          <w:szCs w:val="20"/>
          <w:lang w:eastAsia="tr-TR"/>
        </w:rPr>
        <w:t>EventProcessorClient</w:t>
      </w:r>
      <w:r w:rsidRPr="006024A1">
        <w:rPr>
          <w:rFonts w:ascii="Segoe UI" w:eastAsia="Times New Roman" w:hAnsi="Segoe UI" w:cs="Segoe UI"/>
          <w:color w:val="161616"/>
          <w:sz w:val="24"/>
          <w:szCs w:val="24"/>
          <w:lang w:eastAsia="tr-TR"/>
        </w:rPr>
        <w:t>), and in Python and JavaScript SDKs, you use </w:t>
      </w:r>
      <w:r w:rsidRPr="006024A1">
        <w:rPr>
          <w:rFonts w:ascii="Consolas" w:eastAsia="Times New Roman" w:hAnsi="Consolas" w:cs="Courier New"/>
          <w:color w:val="161616"/>
          <w:sz w:val="20"/>
          <w:szCs w:val="20"/>
          <w:lang w:eastAsia="tr-TR"/>
        </w:rPr>
        <w:t>EventHubConsumerClient</w:t>
      </w:r>
      <w:r w:rsidRPr="006024A1">
        <w:rPr>
          <w:rFonts w:ascii="Segoe UI" w:eastAsia="Times New Roman" w:hAnsi="Segoe UI" w:cs="Segoe UI"/>
          <w:color w:val="161616"/>
          <w:sz w:val="24"/>
          <w:szCs w:val="24"/>
          <w:lang w:eastAsia="tr-TR"/>
        </w:rPr>
        <w:t>.</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For most production scenarios, we recommend that you use the event processor client for reading and processing events. Event processor clients can work cooperatively within the context of a consumer group for a given event hub. Clients will automatically manage distribution and balancing of work as instances become available or unavailable for the group.</w:t>
      </w:r>
    </w:p>
    <w:p w:rsidR="006024A1" w:rsidRPr="006024A1" w:rsidRDefault="006024A1" w:rsidP="006024A1">
      <w:pPr>
        <w:shd w:val="clear" w:color="auto" w:fill="FFFFFF"/>
        <w:spacing w:before="480" w:after="180" w:line="240" w:lineRule="auto"/>
        <w:outlineLvl w:val="1"/>
        <w:rPr>
          <w:rFonts w:ascii="Segoe UI" w:eastAsia="Times New Roman" w:hAnsi="Segoe UI" w:cs="Segoe UI"/>
          <w:b/>
          <w:bCs/>
          <w:color w:val="161616"/>
          <w:sz w:val="36"/>
          <w:szCs w:val="36"/>
          <w:lang w:eastAsia="tr-TR"/>
        </w:rPr>
      </w:pPr>
      <w:r w:rsidRPr="006024A1">
        <w:rPr>
          <w:rFonts w:ascii="Segoe UI" w:eastAsia="Times New Roman" w:hAnsi="Segoe UI" w:cs="Segoe UI"/>
          <w:b/>
          <w:bCs/>
          <w:color w:val="161616"/>
          <w:sz w:val="36"/>
          <w:szCs w:val="36"/>
          <w:lang w:eastAsia="tr-TR"/>
        </w:rPr>
        <w:t>Partition ownership tracking</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lastRenderedPageBreak/>
        <w:t>An event processor instance typically owns and processes events from one or more partitions. Ownership of partitions is evenly distributed among all the active event processor instances associated with an event hub and consumer group combination.</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Each event processor is given a unique identifier and claims ownership of partitions by adding or updating an entry in a checkpoint store. All event processor instances communicate with this store periodically to update its own processing state as well as to learn about other active instances. This data is then used to balance the load among the active processors.</w:t>
      </w:r>
    </w:p>
    <w:p w:rsidR="006024A1" w:rsidRPr="006024A1" w:rsidRDefault="006024A1" w:rsidP="006024A1">
      <w:pPr>
        <w:shd w:val="clear" w:color="auto" w:fill="FFFFFF"/>
        <w:spacing w:before="480" w:after="180" w:line="240" w:lineRule="auto"/>
        <w:outlineLvl w:val="1"/>
        <w:rPr>
          <w:rFonts w:ascii="Segoe UI" w:eastAsia="Times New Roman" w:hAnsi="Segoe UI" w:cs="Segoe UI"/>
          <w:b/>
          <w:bCs/>
          <w:color w:val="161616"/>
          <w:sz w:val="36"/>
          <w:szCs w:val="36"/>
          <w:lang w:eastAsia="tr-TR"/>
        </w:rPr>
      </w:pPr>
      <w:r w:rsidRPr="006024A1">
        <w:rPr>
          <w:rFonts w:ascii="Segoe UI" w:eastAsia="Times New Roman" w:hAnsi="Segoe UI" w:cs="Segoe UI"/>
          <w:b/>
          <w:bCs/>
          <w:color w:val="161616"/>
          <w:sz w:val="36"/>
          <w:szCs w:val="36"/>
          <w:lang w:eastAsia="tr-TR"/>
        </w:rPr>
        <w:t>Receive messages</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When you create an event processor, you specify the functions that will process events and errors. Each call to the function that processes events delivers a single event from a specific partition. It's your responsibility to handle this event. If you want to make sure the consumer processes every message at least once, you need to write your own code with retry logic. But be cautious about poisoned messages.</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We recommend that you do things relatively fast. That is, do as little processing as possible. If you need to write to storage and do some routing, it's better to use two consumer groups and have two event processors.</w:t>
      </w:r>
    </w:p>
    <w:p w:rsidR="006024A1" w:rsidRPr="006024A1" w:rsidRDefault="006024A1" w:rsidP="006024A1">
      <w:pPr>
        <w:shd w:val="clear" w:color="auto" w:fill="FFFFFF"/>
        <w:spacing w:before="480" w:after="180" w:line="240" w:lineRule="auto"/>
        <w:outlineLvl w:val="1"/>
        <w:rPr>
          <w:rFonts w:ascii="Segoe UI" w:eastAsia="Times New Roman" w:hAnsi="Segoe UI" w:cs="Segoe UI"/>
          <w:b/>
          <w:bCs/>
          <w:color w:val="161616"/>
          <w:sz w:val="36"/>
          <w:szCs w:val="36"/>
          <w:lang w:eastAsia="tr-TR"/>
        </w:rPr>
      </w:pPr>
      <w:r w:rsidRPr="006024A1">
        <w:rPr>
          <w:rFonts w:ascii="Segoe UI" w:eastAsia="Times New Roman" w:hAnsi="Segoe UI" w:cs="Segoe UI"/>
          <w:b/>
          <w:bCs/>
          <w:color w:val="161616"/>
          <w:sz w:val="36"/>
          <w:szCs w:val="36"/>
          <w:lang w:eastAsia="tr-TR"/>
        </w:rPr>
        <w:t>Checkpointing</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i/>
          <w:iCs/>
          <w:color w:val="161616"/>
          <w:sz w:val="24"/>
          <w:szCs w:val="24"/>
          <w:lang w:eastAsia="tr-TR"/>
        </w:rPr>
        <w:t>Checkpointing</w:t>
      </w:r>
      <w:r w:rsidRPr="006024A1">
        <w:rPr>
          <w:rFonts w:ascii="Segoe UI" w:eastAsia="Times New Roman" w:hAnsi="Segoe UI" w:cs="Segoe UI"/>
          <w:color w:val="161616"/>
          <w:sz w:val="24"/>
          <w:szCs w:val="24"/>
          <w:lang w:eastAsia="tr-TR"/>
        </w:rPr>
        <w:t> is a process by which an event processor marks or commits the position of the last successfully processed event within a partition. Marking a checkpoint is typically done within the function that processes the events and occurs on a per-partition basis within a consumer group.</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t>If an event processor disconnects from a partition, another instance can resume processing the partition at the checkpoint that was previously committed by the last processor of that partition in that consumer group. When the processor connects, it passes the offset to the event hub to specify the location at which to start reading. In this way, you can use checkpointing to both mark events as "complete" by downstream applications and to provide resiliency when an event processor goes down. It's possible to return to older data by specifying a lower offset from this checkpointing process.</w:t>
      </w:r>
    </w:p>
    <w:p w:rsidR="006024A1" w:rsidRPr="006024A1" w:rsidRDefault="006024A1" w:rsidP="006024A1">
      <w:pPr>
        <w:shd w:val="clear" w:color="auto" w:fill="FFFFFF"/>
        <w:spacing w:before="480" w:after="180" w:line="240" w:lineRule="auto"/>
        <w:outlineLvl w:val="1"/>
        <w:rPr>
          <w:rFonts w:ascii="Segoe UI" w:eastAsia="Times New Roman" w:hAnsi="Segoe UI" w:cs="Segoe UI"/>
          <w:b/>
          <w:bCs/>
          <w:color w:val="161616"/>
          <w:sz w:val="36"/>
          <w:szCs w:val="36"/>
          <w:lang w:eastAsia="tr-TR"/>
        </w:rPr>
      </w:pPr>
      <w:r w:rsidRPr="006024A1">
        <w:rPr>
          <w:rFonts w:ascii="Segoe UI" w:eastAsia="Times New Roman" w:hAnsi="Segoe UI" w:cs="Segoe UI"/>
          <w:b/>
          <w:bCs/>
          <w:color w:val="161616"/>
          <w:sz w:val="36"/>
          <w:szCs w:val="36"/>
          <w:lang w:eastAsia="tr-TR"/>
        </w:rPr>
        <w:t>Thread safety and processor instances</w:t>
      </w:r>
    </w:p>
    <w:p w:rsidR="006024A1" w:rsidRPr="006024A1" w:rsidRDefault="006024A1" w:rsidP="006024A1">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6024A1">
        <w:rPr>
          <w:rFonts w:ascii="Segoe UI" w:eastAsia="Times New Roman" w:hAnsi="Segoe UI" w:cs="Segoe UI"/>
          <w:color w:val="161616"/>
          <w:sz w:val="24"/>
          <w:szCs w:val="24"/>
          <w:lang w:eastAsia="tr-TR"/>
        </w:rPr>
        <w:lastRenderedPageBreak/>
        <w:t>By default, the function that processes the events is called sequentially for a given partition. Subsequent events and calls to this function from the same partition queue up behind the scenes as the event pump continues to run in the background on other threads. Events from different partitions can be processed concurrently and any shared state that is accessed across partitions have to be synchronized.</w:t>
      </w:r>
    </w:p>
    <w:p w:rsidR="0096478C" w:rsidRDefault="0096478C" w:rsidP="0096478C">
      <w:pPr>
        <w:pStyle w:val="Heading1"/>
        <w:shd w:val="clear" w:color="auto" w:fill="FFFFFF"/>
        <w:spacing w:before="0"/>
        <w:rPr>
          <w:rFonts w:ascii="Segoe UI" w:hAnsi="Segoe UI" w:cs="Segoe UI"/>
          <w:color w:val="161616"/>
        </w:rPr>
      </w:pPr>
      <w:r>
        <w:rPr>
          <w:rFonts w:ascii="Segoe UI" w:hAnsi="Segoe UI" w:cs="Segoe UI"/>
          <w:color w:val="161616"/>
        </w:rPr>
        <w:t>Control access to events</w:t>
      </w:r>
    </w:p>
    <w:p w:rsidR="0096478C" w:rsidRDefault="0096478C" w:rsidP="0096478C">
      <w:pPr>
        <w:shd w:val="clear" w:color="auto" w:fill="FFFFFF"/>
        <w:rPr>
          <w:rFonts w:ascii="Segoe UI" w:hAnsi="Segoe UI" w:cs="Segoe UI"/>
          <w:color w:val="161616"/>
        </w:rPr>
      </w:pPr>
      <w:r>
        <w:rPr>
          <w:rStyle w:val="visually-hidden"/>
          <w:rFonts w:ascii="docons" w:hAnsi="docons" w:cs="Segoe UI"/>
          <w:color w:val="161616"/>
          <w:sz w:val="14"/>
          <w:szCs w:val="14"/>
          <w:bdr w:val="none" w:sz="0" w:space="0" w:color="auto" w:frame="1"/>
        </w:rPr>
        <w:t>Completed</w:t>
      </w:r>
      <w:r>
        <w:rPr>
          <w:rStyle w:val="xp-tag-xp"/>
          <w:rFonts w:ascii="Segoe UI" w:hAnsi="Segoe UI" w:cs="Segoe UI"/>
          <w:color w:val="161616"/>
          <w:sz w:val="18"/>
          <w:szCs w:val="18"/>
        </w:rPr>
        <w:t>100 XP</w:t>
      </w:r>
    </w:p>
    <w:p w:rsidR="0096478C" w:rsidRDefault="0096478C" w:rsidP="0096478C">
      <w:pPr>
        <w:numPr>
          <w:ilvl w:val="0"/>
          <w:numId w:val="3"/>
        </w:numPr>
        <w:shd w:val="clear" w:color="auto" w:fill="FFFFFF"/>
        <w:spacing w:after="0" w:line="240" w:lineRule="auto"/>
        <w:rPr>
          <w:rFonts w:ascii="Segoe UI" w:hAnsi="Segoe UI" w:cs="Segoe UI"/>
        </w:rPr>
      </w:pPr>
      <w:r>
        <w:rPr>
          <w:rFonts w:ascii="Segoe UI" w:hAnsi="Segoe UI" w:cs="Segoe UI"/>
        </w:rPr>
        <w:t>3 minutes</w:t>
      </w:r>
    </w:p>
    <w:p w:rsidR="0096478C" w:rsidRDefault="0096478C" w:rsidP="0096478C">
      <w:pPr>
        <w:pStyle w:val="NormalWeb"/>
        <w:shd w:val="clear" w:color="auto" w:fill="FFFFFF"/>
        <w:rPr>
          <w:rFonts w:ascii="Segoe UI" w:hAnsi="Segoe UI" w:cs="Segoe UI"/>
          <w:color w:val="161616"/>
        </w:rPr>
      </w:pPr>
      <w:r>
        <w:rPr>
          <w:rFonts w:ascii="Segoe UI" w:hAnsi="Segoe UI" w:cs="Segoe UI"/>
          <w:color w:val="161616"/>
        </w:rPr>
        <w:t>Azure Event Hubs supports both Azure Active Directory and shared access signatures (SAS) to handle both authentication and authorization. Azure provides the following Azure built-in roles for authorizing access to Event Hubs data using Azure Active Directory and OAuth:</w:t>
      </w:r>
    </w:p>
    <w:p w:rsidR="0096478C" w:rsidRDefault="0096478C" w:rsidP="0096478C">
      <w:pPr>
        <w:numPr>
          <w:ilvl w:val="0"/>
          <w:numId w:val="4"/>
        </w:numPr>
        <w:shd w:val="clear" w:color="auto" w:fill="FFFFFF"/>
        <w:spacing w:after="0" w:line="240" w:lineRule="auto"/>
        <w:ind w:left="570"/>
        <w:rPr>
          <w:rFonts w:ascii="Segoe UI" w:hAnsi="Segoe UI" w:cs="Segoe UI"/>
          <w:color w:val="161616"/>
        </w:rPr>
      </w:pPr>
      <w:hyperlink r:id="rId25" w:anchor="azure-event-hubs-data-owner" w:history="1">
        <w:r>
          <w:rPr>
            <w:rStyle w:val="Hyperlink"/>
            <w:rFonts w:ascii="Segoe UI" w:hAnsi="Segoe UI" w:cs="Segoe UI"/>
          </w:rPr>
          <w:t>Azure Event Hubs Data Owner</w:t>
        </w:r>
      </w:hyperlink>
      <w:r>
        <w:rPr>
          <w:rFonts w:ascii="Segoe UI" w:hAnsi="Segoe UI" w:cs="Segoe UI"/>
          <w:color w:val="161616"/>
        </w:rPr>
        <w:t>: Use this role to give </w:t>
      </w:r>
      <w:r>
        <w:rPr>
          <w:rStyle w:val="Emphasis"/>
          <w:rFonts w:ascii="Segoe UI" w:hAnsi="Segoe UI" w:cs="Segoe UI"/>
          <w:color w:val="161616"/>
        </w:rPr>
        <w:t>complete access</w:t>
      </w:r>
      <w:r>
        <w:rPr>
          <w:rFonts w:ascii="Segoe UI" w:hAnsi="Segoe UI" w:cs="Segoe UI"/>
          <w:color w:val="161616"/>
        </w:rPr>
        <w:t> to Event Hubs resources.</w:t>
      </w:r>
    </w:p>
    <w:p w:rsidR="0096478C" w:rsidRDefault="0096478C" w:rsidP="0096478C">
      <w:pPr>
        <w:numPr>
          <w:ilvl w:val="0"/>
          <w:numId w:val="4"/>
        </w:numPr>
        <w:shd w:val="clear" w:color="auto" w:fill="FFFFFF"/>
        <w:spacing w:after="0" w:line="240" w:lineRule="auto"/>
        <w:ind w:left="570"/>
        <w:rPr>
          <w:rFonts w:ascii="Segoe UI" w:hAnsi="Segoe UI" w:cs="Segoe UI"/>
          <w:color w:val="161616"/>
        </w:rPr>
      </w:pPr>
      <w:hyperlink r:id="rId26" w:anchor="azure-event-hubs-data-sender" w:history="1">
        <w:r>
          <w:rPr>
            <w:rStyle w:val="Hyperlink"/>
            <w:rFonts w:ascii="Segoe UI" w:hAnsi="Segoe UI" w:cs="Segoe UI"/>
          </w:rPr>
          <w:t>Azure Event Hubs Data Sender</w:t>
        </w:r>
      </w:hyperlink>
      <w:r>
        <w:rPr>
          <w:rFonts w:ascii="Segoe UI" w:hAnsi="Segoe UI" w:cs="Segoe UI"/>
          <w:color w:val="161616"/>
        </w:rPr>
        <w:t>: Use this role to give </w:t>
      </w:r>
      <w:r>
        <w:rPr>
          <w:rStyle w:val="Emphasis"/>
          <w:rFonts w:ascii="Segoe UI" w:hAnsi="Segoe UI" w:cs="Segoe UI"/>
          <w:color w:val="161616"/>
        </w:rPr>
        <w:t>send access</w:t>
      </w:r>
      <w:r>
        <w:rPr>
          <w:rFonts w:ascii="Segoe UI" w:hAnsi="Segoe UI" w:cs="Segoe UI"/>
          <w:color w:val="161616"/>
        </w:rPr>
        <w:t> to Event Hubs resources.</w:t>
      </w:r>
    </w:p>
    <w:p w:rsidR="0096478C" w:rsidRDefault="0096478C" w:rsidP="0096478C">
      <w:pPr>
        <w:numPr>
          <w:ilvl w:val="0"/>
          <w:numId w:val="4"/>
        </w:numPr>
        <w:shd w:val="clear" w:color="auto" w:fill="FFFFFF"/>
        <w:spacing w:after="0" w:line="240" w:lineRule="auto"/>
        <w:ind w:left="570"/>
        <w:rPr>
          <w:rFonts w:ascii="Segoe UI" w:hAnsi="Segoe UI" w:cs="Segoe UI"/>
          <w:color w:val="161616"/>
        </w:rPr>
      </w:pPr>
      <w:hyperlink r:id="rId27" w:anchor="azure-event-hubs-data-receiver" w:history="1">
        <w:r>
          <w:rPr>
            <w:rStyle w:val="Hyperlink"/>
            <w:rFonts w:ascii="Segoe UI" w:hAnsi="Segoe UI" w:cs="Segoe UI"/>
          </w:rPr>
          <w:t>Azure Event Hubs Data Receiver</w:t>
        </w:r>
      </w:hyperlink>
      <w:r>
        <w:rPr>
          <w:rFonts w:ascii="Segoe UI" w:hAnsi="Segoe UI" w:cs="Segoe UI"/>
          <w:color w:val="161616"/>
        </w:rPr>
        <w:t>: Use this role to give </w:t>
      </w:r>
      <w:r>
        <w:rPr>
          <w:rStyle w:val="Emphasis"/>
          <w:rFonts w:ascii="Segoe UI" w:hAnsi="Segoe UI" w:cs="Segoe UI"/>
          <w:color w:val="161616"/>
        </w:rPr>
        <w:t>receiving access</w:t>
      </w:r>
      <w:r>
        <w:rPr>
          <w:rFonts w:ascii="Segoe UI" w:hAnsi="Segoe UI" w:cs="Segoe UI"/>
          <w:color w:val="161616"/>
        </w:rPr>
        <w:t> to Event Hubs resources.</w:t>
      </w:r>
    </w:p>
    <w:p w:rsidR="0096478C" w:rsidRDefault="0096478C" w:rsidP="0096478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Authorize access with managed identities</w:t>
      </w:r>
    </w:p>
    <w:p w:rsidR="0096478C" w:rsidRDefault="0096478C" w:rsidP="0096478C">
      <w:pPr>
        <w:pStyle w:val="NormalWeb"/>
        <w:shd w:val="clear" w:color="auto" w:fill="FFFFFF"/>
        <w:rPr>
          <w:rFonts w:ascii="Segoe UI" w:hAnsi="Segoe UI" w:cs="Segoe UI"/>
          <w:color w:val="161616"/>
        </w:rPr>
      </w:pPr>
      <w:r>
        <w:rPr>
          <w:rFonts w:ascii="Segoe UI" w:hAnsi="Segoe UI" w:cs="Segoe UI"/>
          <w:color w:val="161616"/>
        </w:rPr>
        <w:t>To authorize a request to Event Hubs service from a managed identity in your application, you need to configure Azure role-based access control settings for that managed identity. Azure Event Hubs defines Azure roles that encompass permissions for sending and reading from Event Hubs. When the Azure role is assigned to a managed identity, the managed identity is granted access to Event Hubs data at the appropriate scope.</w:t>
      </w:r>
    </w:p>
    <w:p w:rsidR="0096478C" w:rsidRDefault="0096478C" w:rsidP="0096478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Authorize access with Microsoft Identity Platform</w:t>
      </w:r>
    </w:p>
    <w:p w:rsidR="0096478C" w:rsidRDefault="0096478C" w:rsidP="0096478C">
      <w:pPr>
        <w:pStyle w:val="NormalWeb"/>
        <w:shd w:val="clear" w:color="auto" w:fill="FFFFFF"/>
        <w:rPr>
          <w:rFonts w:ascii="Segoe UI" w:hAnsi="Segoe UI" w:cs="Segoe UI"/>
          <w:color w:val="161616"/>
        </w:rPr>
      </w:pPr>
      <w:r>
        <w:rPr>
          <w:rFonts w:ascii="Segoe UI" w:hAnsi="Segoe UI" w:cs="Segoe UI"/>
          <w:color w:val="161616"/>
        </w:rPr>
        <w:t>A key advantage of using Azure AD with Event Hubs is that your credentials no longer need to be stored in your code. Instead, you can request an OAuth 2.0 access token from Microsoft identity platform. Azure AD authenticates the security principal (a user, a group, or service principal) running the application. If authentication succeeds, Azure AD returns the access token to the application, and the application can then use the access token to authorize requests to Azure Event Hubs.</w:t>
      </w:r>
    </w:p>
    <w:p w:rsidR="0096478C" w:rsidRDefault="0096478C" w:rsidP="0096478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lastRenderedPageBreak/>
        <w:t>Authorize access to Event Hubs publishers with shared access signatures</w:t>
      </w:r>
    </w:p>
    <w:p w:rsidR="0096478C" w:rsidRDefault="0096478C" w:rsidP="0096478C">
      <w:pPr>
        <w:pStyle w:val="NormalWeb"/>
        <w:shd w:val="clear" w:color="auto" w:fill="FFFFFF"/>
        <w:rPr>
          <w:rFonts w:ascii="Segoe UI" w:hAnsi="Segoe UI" w:cs="Segoe UI"/>
          <w:color w:val="161616"/>
        </w:rPr>
      </w:pPr>
      <w:r>
        <w:rPr>
          <w:rFonts w:ascii="Segoe UI" w:hAnsi="Segoe UI" w:cs="Segoe UI"/>
          <w:color w:val="161616"/>
        </w:rPr>
        <w:t>An event publisher defines a virtual endpoint for an Event Hub. The publisher can only be used to send messages to an event hub and not receive messages. Typically, an event hub employs one publisher per client. All messages that are sent to any of the publishers of an event hub are enqueued within that event hub. Publishers enable fine-grained access control.</w:t>
      </w:r>
    </w:p>
    <w:p w:rsidR="0096478C" w:rsidRDefault="0096478C" w:rsidP="0096478C">
      <w:pPr>
        <w:pStyle w:val="NormalWeb"/>
        <w:shd w:val="clear" w:color="auto" w:fill="FFFFFF"/>
        <w:rPr>
          <w:rFonts w:ascii="Segoe UI" w:hAnsi="Segoe UI" w:cs="Segoe UI"/>
          <w:color w:val="161616"/>
        </w:rPr>
      </w:pPr>
      <w:r>
        <w:rPr>
          <w:rFonts w:ascii="Segoe UI" w:hAnsi="Segoe UI" w:cs="Segoe UI"/>
          <w:color w:val="161616"/>
        </w:rPr>
        <w:t>Each Event Hubs client is assigned a unique token which is uploaded to the client. A client that holds a token can only send to one publisher, and no other publisher. If multiple clients share the same token, then each of them shares the publisher.</w:t>
      </w:r>
    </w:p>
    <w:p w:rsidR="0096478C" w:rsidRDefault="0096478C" w:rsidP="0096478C">
      <w:pPr>
        <w:pStyle w:val="NormalWeb"/>
        <w:shd w:val="clear" w:color="auto" w:fill="FFFFFF"/>
        <w:rPr>
          <w:rFonts w:ascii="Segoe UI" w:hAnsi="Segoe UI" w:cs="Segoe UI"/>
          <w:color w:val="161616"/>
        </w:rPr>
      </w:pPr>
      <w:r>
        <w:rPr>
          <w:rFonts w:ascii="Segoe UI" w:hAnsi="Segoe UI" w:cs="Segoe UI"/>
          <w:color w:val="161616"/>
        </w:rPr>
        <w:t>All tokens are assigned with shared access signature keys. Typically, all tokens are signed with the same key. Clients aren't aware of the key, which prevents clients from manufacturing tokens. Clients operate on the same tokens until they expire.</w:t>
      </w:r>
    </w:p>
    <w:p w:rsidR="0096478C" w:rsidRDefault="0096478C" w:rsidP="0096478C">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Authorize access to Event Hubs consumers with shared access signatures</w:t>
      </w:r>
    </w:p>
    <w:p w:rsidR="0096478C" w:rsidRDefault="0096478C" w:rsidP="0096478C">
      <w:pPr>
        <w:pStyle w:val="NormalWeb"/>
        <w:shd w:val="clear" w:color="auto" w:fill="FFFFFF"/>
        <w:rPr>
          <w:rFonts w:ascii="Segoe UI" w:hAnsi="Segoe UI" w:cs="Segoe UI"/>
          <w:color w:val="161616"/>
        </w:rPr>
      </w:pPr>
      <w:r>
        <w:rPr>
          <w:rFonts w:ascii="Segoe UI" w:hAnsi="Segoe UI" w:cs="Segoe UI"/>
          <w:color w:val="161616"/>
        </w:rPr>
        <w:t>To authenticate back-end applications that consume from the data generated by Event Hubs producers, Event Hubs token authentication requires its clients to either have the </w:t>
      </w:r>
      <w:r>
        <w:rPr>
          <w:rStyle w:val="Strong"/>
          <w:rFonts w:ascii="Segoe UI" w:hAnsi="Segoe UI" w:cs="Segoe UI"/>
          <w:color w:val="161616"/>
        </w:rPr>
        <w:t>manage</w:t>
      </w:r>
      <w:r>
        <w:rPr>
          <w:rFonts w:ascii="Segoe UI" w:hAnsi="Segoe UI" w:cs="Segoe UI"/>
          <w:color w:val="161616"/>
        </w:rPr>
        <w:t> rights or the </w:t>
      </w:r>
      <w:r>
        <w:rPr>
          <w:rStyle w:val="Strong"/>
          <w:rFonts w:ascii="Segoe UI" w:hAnsi="Segoe UI" w:cs="Segoe UI"/>
          <w:color w:val="161616"/>
        </w:rPr>
        <w:t>listen</w:t>
      </w:r>
      <w:r>
        <w:rPr>
          <w:rFonts w:ascii="Segoe UI" w:hAnsi="Segoe UI" w:cs="Segoe UI"/>
          <w:color w:val="161616"/>
        </w:rPr>
        <w:t> privileges assigned to its Event Hubs namespace or event hub instance or topic. Data is consumed from Event Hubs using consumer groups. While SAS policy gives you granular scope, this scope is defined only at the entity level and not at the consumer level. It means that the privileges defined at the namespace level or the event hub instance or topic level will be applied to the consumer groups of that entity.</w:t>
      </w:r>
    </w:p>
    <w:p w:rsidR="00FA7BF3" w:rsidRDefault="0096478C">
      <w:r w:rsidRPr="0096478C">
        <w:lastRenderedPageBreak/>
        <w:drawing>
          <wp:inline distT="0" distB="0" distL="0" distR="0" wp14:anchorId="33F50501" wp14:editId="211AB0BC">
            <wp:extent cx="5760720" cy="31229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22930"/>
                    </a:xfrm>
                    <a:prstGeom prst="rect">
                      <a:avLst/>
                    </a:prstGeom>
                  </pic:spPr>
                </pic:pic>
              </a:graphicData>
            </a:graphic>
          </wp:inline>
        </w:drawing>
      </w:r>
      <w:bookmarkStart w:id="0" w:name="_GoBack"/>
      <w:bookmarkEnd w:id="0"/>
    </w:p>
    <w:sectPr w:rsidR="00FA7B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docons">
    <w:altName w:val="Times New Roman"/>
    <w:panose1 w:val="00000000000000000000"/>
    <w:charset w:val="00"/>
    <w:family w:val="roman"/>
    <w:notTrueType/>
    <w:pitch w:val="default"/>
  </w:font>
  <w:font w:name="Consolas">
    <w:panose1 w:val="020B0609020204030204"/>
    <w:charset w:val="A2"/>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1903B13"/>
    <w:multiLevelType w:val="multilevel"/>
    <w:tmpl w:val="2D44E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6B410B7"/>
    <w:multiLevelType w:val="multilevel"/>
    <w:tmpl w:val="BAA4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BA91E97"/>
    <w:multiLevelType w:val="multilevel"/>
    <w:tmpl w:val="6B7AC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FD194B"/>
    <w:multiLevelType w:val="multilevel"/>
    <w:tmpl w:val="F962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78A"/>
    <w:rsid w:val="00034142"/>
    <w:rsid w:val="000858F9"/>
    <w:rsid w:val="002B078A"/>
    <w:rsid w:val="006024A1"/>
    <w:rsid w:val="00647443"/>
    <w:rsid w:val="00840776"/>
    <w:rsid w:val="0096478C"/>
    <w:rsid w:val="00DE3745"/>
    <w:rsid w:val="00E011E4"/>
    <w:rsid w:val="00FA7BF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4BDD2"/>
  <w15:chartTrackingRefBased/>
  <w15:docId w15:val="{81E89409-CBC5-4335-9551-3C4DEEB0C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24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024A1"/>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A7BF3"/>
    <w:rPr>
      <w:color w:val="0563C1" w:themeColor="hyperlink"/>
      <w:u w:val="single"/>
    </w:rPr>
  </w:style>
  <w:style w:type="character" w:customStyle="1" w:styleId="Heading2Char">
    <w:name w:val="Heading 2 Char"/>
    <w:basedOn w:val="DefaultParagraphFont"/>
    <w:link w:val="Heading2"/>
    <w:uiPriority w:val="9"/>
    <w:rsid w:val="006024A1"/>
    <w:rPr>
      <w:rFonts w:ascii="Times New Roman" w:eastAsia="Times New Roman" w:hAnsi="Times New Roman" w:cs="Times New Roman"/>
      <w:b/>
      <w:bCs/>
      <w:sz w:val="36"/>
      <w:szCs w:val="36"/>
      <w:lang w:eastAsia="tr-TR"/>
    </w:rPr>
  </w:style>
  <w:style w:type="paragraph" w:styleId="NormalWeb">
    <w:name w:val="Normal (Web)"/>
    <w:basedOn w:val="Normal"/>
    <w:uiPriority w:val="99"/>
    <w:semiHidden/>
    <w:unhideWhenUsed/>
    <w:rsid w:val="006024A1"/>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Strong">
    <w:name w:val="Strong"/>
    <w:basedOn w:val="DefaultParagraphFont"/>
    <w:uiPriority w:val="22"/>
    <w:qFormat/>
    <w:rsid w:val="006024A1"/>
    <w:rPr>
      <w:b/>
      <w:bCs/>
    </w:rPr>
  </w:style>
  <w:style w:type="character" w:customStyle="1" w:styleId="Heading1Char">
    <w:name w:val="Heading 1 Char"/>
    <w:basedOn w:val="DefaultParagraphFont"/>
    <w:link w:val="Heading1"/>
    <w:uiPriority w:val="9"/>
    <w:rsid w:val="006024A1"/>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6024A1"/>
    <w:rPr>
      <w:i/>
      <w:iCs/>
    </w:rPr>
  </w:style>
  <w:style w:type="character" w:styleId="HTMLCode">
    <w:name w:val="HTML Code"/>
    <w:basedOn w:val="DefaultParagraphFont"/>
    <w:uiPriority w:val="99"/>
    <w:semiHidden/>
    <w:unhideWhenUsed/>
    <w:rsid w:val="006024A1"/>
    <w:rPr>
      <w:rFonts w:ascii="Courier New" w:eastAsia="Times New Roman" w:hAnsi="Courier New" w:cs="Courier New"/>
      <w:sz w:val="20"/>
      <w:szCs w:val="20"/>
    </w:rPr>
  </w:style>
  <w:style w:type="character" w:customStyle="1" w:styleId="visually-hidden">
    <w:name w:val="visually-hidden"/>
    <w:basedOn w:val="DefaultParagraphFont"/>
    <w:rsid w:val="0096478C"/>
  </w:style>
  <w:style w:type="character" w:customStyle="1" w:styleId="xp-tag-xp">
    <w:name w:val="xp-tag-xp"/>
    <w:basedOn w:val="DefaultParagraphFont"/>
    <w:rsid w:val="009647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456186">
      <w:bodyDiv w:val="1"/>
      <w:marLeft w:val="0"/>
      <w:marRight w:val="0"/>
      <w:marTop w:val="0"/>
      <w:marBottom w:val="0"/>
      <w:divBdr>
        <w:top w:val="none" w:sz="0" w:space="0" w:color="auto"/>
        <w:left w:val="none" w:sz="0" w:space="0" w:color="auto"/>
        <w:bottom w:val="none" w:sz="0" w:space="0" w:color="auto"/>
        <w:right w:val="none" w:sz="0" w:space="0" w:color="auto"/>
      </w:divBdr>
      <w:divsChild>
        <w:div w:id="189877179">
          <w:marLeft w:val="0"/>
          <w:marRight w:val="0"/>
          <w:marTop w:val="0"/>
          <w:marBottom w:val="0"/>
          <w:divBdr>
            <w:top w:val="none" w:sz="0" w:space="0" w:color="auto"/>
            <w:left w:val="none" w:sz="0" w:space="0" w:color="auto"/>
            <w:bottom w:val="none" w:sz="0" w:space="0" w:color="auto"/>
            <w:right w:val="none" w:sz="0" w:space="0" w:color="auto"/>
          </w:divBdr>
          <w:divsChild>
            <w:div w:id="3588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6391">
      <w:bodyDiv w:val="1"/>
      <w:marLeft w:val="0"/>
      <w:marRight w:val="0"/>
      <w:marTop w:val="0"/>
      <w:marBottom w:val="0"/>
      <w:divBdr>
        <w:top w:val="none" w:sz="0" w:space="0" w:color="auto"/>
        <w:left w:val="none" w:sz="0" w:space="0" w:color="auto"/>
        <w:bottom w:val="none" w:sz="0" w:space="0" w:color="auto"/>
        <w:right w:val="none" w:sz="0" w:space="0" w:color="auto"/>
      </w:divBdr>
    </w:div>
    <w:div w:id="900597807">
      <w:bodyDiv w:val="1"/>
      <w:marLeft w:val="0"/>
      <w:marRight w:val="0"/>
      <w:marTop w:val="0"/>
      <w:marBottom w:val="0"/>
      <w:divBdr>
        <w:top w:val="none" w:sz="0" w:space="0" w:color="auto"/>
        <w:left w:val="none" w:sz="0" w:space="0" w:color="auto"/>
        <w:bottom w:val="none" w:sz="0" w:space="0" w:color="auto"/>
        <w:right w:val="none" w:sz="0" w:space="0" w:color="auto"/>
      </w:divBdr>
    </w:div>
    <w:div w:id="954167428">
      <w:bodyDiv w:val="1"/>
      <w:marLeft w:val="0"/>
      <w:marRight w:val="0"/>
      <w:marTop w:val="0"/>
      <w:marBottom w:val="0"/>
      <w:divBdr>
        <w:top w:val="none" w:sz="0" w:space="0" w:color="auto"/>
        <w:left w:val="none" w:sz="0" w:space="0" w:color="auto"/>
        <w:bottom w:val="none" w:sz="0" w:space="0" w:color="auto"/>
        <w:right w:val="none" w:sz="0" w:space="0" w:color="auto"/>
      </w:divBdr>
    </w:div>
    <w:div w:id="1166941963">
      <w:bodyDiv w:val="1"/>
      <w:marLeft w:val="0"/>
      <w:marRight w:val="0"/>
      <w:marTop w:val="0"/>
      <w:marBottom w:val="0"/>
      <w:divBdr>
        <w:top w:val="none" w:sz="0" w:space="0" w:color="auto"/>
        <w:left w:val="none" w:sz="0" w:space="0" w:color="auto"/>
        <w:bottom w:val="none" w:sz="0" w:space="0" w:color="auto"/>
        <w:right w:val="none" w:sz="0" w:space="0" w:color="auto"/>
      </w:divBdr>
    </w:div>
    <w:div w:id="1973823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learn.microsoft.com/en-us/azure/role-based-access-control/built-in-roles" TargetMode="External"/><Relationship Id="rId3" Type="http://schemas.openxmlformats.org/officeDocument/2006/relationships/settings" Target="settings.xml"/><Relationship Id="rId21" Type="http://schemas.openxmlformats.org/officeDocument/2006/relationships/hyperlink" Target="https://youtu.be/jZx8PMQjobk?t=42755"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learn.microsoft.com/en-us/azure/role-based-access-control/built-in-roles"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hyperlink" Target="https://learn.microsoft.com/en-us/azure/role-based-access-control/built-in-role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TotalTime>
  <Pages>16</Pages>
  <Words>1972</Words>
  <Characters>11246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Salih Alcı</dc:creator>
  <cp:keywords/>
  <dc:description/>
  <cp:lastModifiedBy>Salih Alcı</cp:lastModifiedBy>
  <cp:revision>5</cp:revision>
  <dcterms:created xsi:type="dcterms:W3CDTF">2023-03-29T07:42:00Z</dcterms:created>
  <dcterms:modified xsi:type="dcterms:W3CDTF">2023-03-30T07:09:00Z</dcterms:modified>
</cp:coreProperties>
</file>